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70" w:firstLineChars="8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小学部分层分类教学工作方案</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一、分层分类教学背景</w:t>
      </w:r>
    </w:p>
    <w:p>
      <w:pPr>
        <w:numPr>
          <w:ilvl w:val="0"/>
          <w:numId w:val="0"/>
        </w:numPr>
        <w:ind w:firstLine="560" w:firstLine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遵循学生的心理认知规律，对学生进行因材施教、分层测试、分层评价、使不同层次的学生都能建立信心，看到希望，主动学习，形成自我发展的能力；实现让优等生“吃得饱”、中等生“吃得好”、学困生“吃得了”的教学要求，从而大面积提高班级各层次学生的成绩，为初中输送成绩优异的学生。</w:t>
      </w:r>
    </w:p>
    <w:p>
      <w:pPr>
        <w:numPr>
          <w:ilvl w:val="0"/>
          <w:numId w:val="1"/>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分层分类教学目标</w:t>
      </w:r>
    </w:p>
    <w:p>
      <w:pPr>
        <w:numPr>
          <w:ilvl w:val="0"/>
          <w:numId w:val="0"/>
        </w:numPr>
        <w:ind w:firstLine="560" w:firstLine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实现让优等生“吃得饱”。选拔年级三科总分前20-30名的同学组成“A”班，通过增加一些教学的难度来磨练学生学习的意志和培养良好的解题思维能力，为初中输送好的生源；鼓励学生多参加校内外赛事为学校争取荣誉。</w:t>
      </w:r>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中等生“吃得好”。这部分学生成绩属于年级的中间力量，可上可下，有一定的学习基础，缺乏刻苦学习精神。通过分层分类教学，培养他们刻苦学习的精神和勇于与他人竞争的意识。提高学校在各类考试“A”等学生人数，提升学校整体的优秀率，使他们逐步向年级优秀同学靠拢。</w:t>
      </w:r>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3.学困生“吃得了”。这部分学生学习习惯不好、基础差、对学习没有兴趣，老师和家长对他们的关注度不够。通过分层分类教学，逐步培养他们的学习兴趣、养成良好的学习习惯，把基础抓好打牢，成绩能从“C”和“D”等提升一个层次。</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三、分层分类教学内容</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分层分类教学内容，各位上课老师根据教务处的要求，拟定好每一学期的教学计划，每周写好教案，每节课的练习题、每月测试卷都要交教务处备案存档。上课老师可以根据，学生上课的实际情况和接受程度，适当调整教学内容，一切以学生掌握实际效果为准。</w:t>
      </w:r>
    </w:p>
    <w:p>
      <w:pPr>
        <w:numPr>
          <w:ilvl w:val="0"/>
          <w:numId w:val="1"/>
        </w:numPr>
        <w:ind w:left="0" w:leftChars="0" w:firstLine="0" w:firstLineChars="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分班原则及班级设置</w:t>
      </w:r>
    </w:p>
    <w:p>
      <w:pPr>
        <w:numPr>
          <w:ilvl w:val="0"/>
          <w:numId w:val="0"/>
        </w:numPr>
        <w:ind w:leftChars="100" w:firstLine="280" w:firstLineChars="1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1.分班原则：依据上一学年期末考试成绩为参考标准，主要以：数学和语文成绩为核心。即：五年级参考四年级期末考试成绩、六年级参考五年级期末考试成绩。</w:t>
      </w:r>
    </w:p>
    <w:p>
      <w:pPr>
        <w:numPr>
          <w:ilvl w:val="0"/>
          <w:numId w:val="0"/>
        </w:numPr>
        <w:ind w:leftChars="100" w:firstLine="280" w:firstLineChars="1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2.班级设置：五年级（84人）设置3个班、六年级（61人）设置3个班。</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四、班级人数及上课老师安排</w:t>
      </w:r>
    </w:p>
    <w:tbl>
      <w:tblPr>
        <w:tblStyle w:val="3"/>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754"/>
        <w:gridCol w:w="1226"/>
        <w:gridCol w:w="1290"/>
        <w:gridCol w:w="1020"/>
        <w:gridCol w:w="720"/>
        <w:gridCol w:w="1200"/>
        <w:gridCol w:w="136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254" w:type="dxa"/>
            <w:gridSpan w:val="4"/>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 xml:space="preserve">        五年级</w:t>
            </w:r>
          </w:p>
        </w:tc>
        <w:tc>
          <w:tcPr>
            <w:tcW w:w="4305" w:type="dxa"/>
            <w:gridSpan w:val="4"/>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 xml:space="preserve">        六年级</w:t>
            </w: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8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班级</w:t>
            </w: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人数</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上课老师</w:t>
            </w:r>
          </w:p>
        </w:tc>
        <w:tc>
          <w:tcPr>
            <w:tcW w:w="129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上课地点</w:t>
            </w:r>
          </w:p>
        </w:tc>
        <w:tc>
          <w:tcPr>
            <w:tcW w:w="1020" w:type="dxa"/>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班级</w:t>
            </w:r>
          </w:p>
        </w:tc>
        <w:tc>
          <w:tcPr>
            <w:tcW w:w="720" w:type="dxa"/>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人数</w:t>
            </w:r>
          </w:p>
        </w:tc>
        <w:tc>
          <w:tcPr>
            <w:tcW w:w="1200" w:type="dxa"/>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上课老师</w:t>
            </w:r>
          </w:p>
        </w:tc>
        <w:tc>
          <w:tcPr>
            <w:tcW w:w="1365" w:type="dxa"/>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上课地点</w:t>
            </w: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84" w:type="dxa"/>
            <w:vMerge w:val="restart"/>
          </w:tcPr>
          <w:p>
            <w:pPr>
              <w:numPr>
                <w:ilvl w:val="0"/>
                <w:numId w:val="0"/>
              </w:numPr>
              <w:rPr>
                <w:rFonts w:hint="eastAsia" w:asciiTheme="majorEastAsia" w:hAnsiTheme="majorEastAsia" w:eastAsiaTheme="majorEastAsia" w:cstheme="majorEastAsia"/>
                <w:b w:val="0"/>
                <w:bCs w:val="0"/>
                <w:sz w:val="24"/>
                <w:szCs w:val="24"/>
                <w:vertAlign w:val="baseline"/>
                <w:lang w:val="en-US" w:eastAsia="zh-CN"/>
              </w:rPr>
            </w:pPr>
          </w:p>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“A”班</w:t>
            </w: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30</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语杨 玲</w:t>
            </w:r>
          </w:p>
        </w:tc>
        <w:tc>
          <w:tcPr>
            <w:tcW w:w="1290" w:type="dxa"/>
            <w:vMerge w:val="restart"/>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p>
            <w:pPr>
              <w:numPr>
                <w:ilvl w:val="0"/>
                <w:numId w:val="0"/>
              </w:numPr>
              <w:ind w:firstLine="240" w:firstLineChars="100"/>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501班</w:t>
            </w:r>
          </w:p>
        </w:tc>
        <w:tc>
          <w:tcPr>
            <w:tcW w:w="1020" w:type="dxa"/>
            <w:vMerge w:val="restart"/>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“A”班</w:t>
            </w:r>
          </w:p>
        </w:tc>
        <w:tc>
          <w:tcPr>
            <w:tcW w:w="72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20</w:t>
            </w:r>
          </w:p>
        </w:tc>
        <w:tc>
          <w:tcPr>
            <w:tcW w:w="120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语李丽萍</w:t>
            </w:r>
          </w:p>
        </w:tc>
        <w:tc>
          <w:tcPr>
            <w:tcW w:w="1365" w:type="dxa"/>
            <w:vMerge w:val="restart"/>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601班</w:t>
            </w: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84"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30</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数董春霞</w:t>
            </w:r>
          </w:p>
        </w:tc>
        <w:tc>
          <w:tcPr>
            <w:tcW w:w="1290"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020" w:type="dxa"/>
            <w:vMerge w:val="continue"/>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p>
        </w:tc>
        <w:tc>
          <w:tcPr>
            <w:tcW w:w="72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20</w:t>
            </w:r>
          </w:p>
        </w:tc>
        <w:tc>
          <w:tcPr>
            <w:tcW w:w="120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数朱珍妮</w:t>
            </w:r>
          </w:p>
        </w:tc>
        <w:tc>
          <w:tcPr>
            <w:tcW w:w="1365"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30</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英宋文静</w:t>
            </w:r>
          </w:p>
        </w:tc>
        <w:tc>
          <w:tcPr>
            <w:tcW w:w="1290"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020" w:type="dxa"/>
            <w:vMerge w:val="continue"/>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p>
        </w:tc>
        <w:tc>
          <w:tcPr>
            <w:tcW w:w="72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20</w:t>
            </w:r>
          </w:p>
        </w:tc>
        <w:tc>
          <w:tcPr>
            <w:tcW w:w="120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英周 敏</w:t>
            </w:r>
          </w:p>
        </w:tc>
        <w:tc>
          <w:tcPr>
            <w:tcW w:w="1365"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Merge w:val="restart"/>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“B”班</w:t>
            </w:r>
          </w:p>
        </w:tc>
        <w:tc>
          <w:tcPr>
            <w:tcW w:w="754" w:type="dxa"/>
            <w:vAlign w:val="top"/>
          </w:tcPr>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30</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语王雯婷</w:t>
            </w:r>
          </w:p>
        </w:tc>
        <w:tc>
          <w:tcPr>
            <w:tcW w:w="1290" w:type="dxa"/>
            <w:vMerge w:val="restart"/>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p>
            <w:pPr>
              <w:numPr>
                <w:ilvl w:val="0"/>
                <w:numId w:val="0"/>
              </w:numPr>
              <w:ind w:firstLine="240" w:firstLineChars="100"/>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502班</w:t>
            </w:r>
          </w:p>
        </w:tc>
        <w:tc>
          <w:tcPr>
            <w:tcW w:w="1020" w:type="dxa"/>
            <w:vMerge w:val="restart"/>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“B”班</w:t>
            </w:r>
          </w:p>
        </w:tc>
        <w:tc>
          <w:tcPr>
            <w:tcW w:w="720" w:type="dxa"/>
            <w:vAlign w:val="top"/>
          </w:tcPr>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25</w:t>
            </w:r>
          </w:p>
        </w:tc>
        <w:tc>
          <w:tcPr>
            <w:tcW w:w="1200" w:type="dxa"/>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语李丽萍</w:t>
            </w:r>
          </w:p>
        </w:tc>
        <w:tc>
          <w:tcPr>
            <w:tcW w:w="1365" w:type="dxa"/>
            <w:vMerge w:val="restart"/>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602班</w:t>
            </w: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Merge w:val="continue"/>
          </w:tcPr>
          <w:p>
            <w:pPr>
              <w:numPr>
                <w:ilvl w:val="0"/>
                <w:numId w:val="0"/>
              </w:numPr>
              <w:rPr>
                <w:rFonts w:hint="eastAsia" w:asciiTheme="majorEastAsia" w:hAnsiTheme="majorEastAsia" w:eastAsiaTheme="majorEastAsia" w:cstheme="majorEastAsia"/>
                <w:b w:val="0"/>
                <w:bCs w:val="0"/>
                <w:sz w:val="24"/>
                <w:szCs w:val="24"/>
                <w:vertAlign w:val="baseline"/>
                <w:lang w:val="en-US" w:eastAsia="zh-CN"/>
              </w:rPr>
            </w:pP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30</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数刘春玲</w:t>
            </w:r>
          </w:p>
        </w:tc>
        <w:tc>
          <w:tcPr>
            <w:tcW w:w="1290"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020" w:type="dxa"/>
            <w:vMerge w:val="continue"/>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tc>
        <w:tc>
          <w:tcPr>
            <w:tcW w:w="72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25</w:t>
            </w:r>
          </w:p>
        </w:tc>
        <w:tc>
          <w:tcPr>
            <w:tcW w:w="1200" w:type="dxa"/>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数朱珍妮</w:t>
            </w:r>
          </w:p>
        </w:tc>
        <w:tc>
          <w:tcPr>
            <w:tcW w:w="1365"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Merge w:val="continue"/>
          </w:tcPr>
          <w:p>
            <w:pPr>
              <w:numPr>
                <w:ilvl w:val="0"/>
                <w:numId w:val="0"/>
              </w:numPr>
              <w:rPr>
                <w:rFonts w:hint="eastAsia" w:asciiTheme="majorEastAsia" w:hAnsiTheme="majorEastAsia" w:eastAsiaTheme="majorEastAsia" w:cstheme="majorEastAsia"/>
                <w:b w:val="0"/>
                <w:bCs w:val="0"/>
                <w:sz w:val="24"/>
                <w:szCs w:val="24"/>
                <w:vertAlign w:val="baseline"/>
                <w:lang w:val="en-US" w:eastAsia="zh-CN"/>
              </w:rPr>
            </w:pP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30</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英聂文彬</w:t>
            </w:r>
          </w:p>
        </w:tc>
        <w:tc>
          <w:tcPr>
            <w:tcW w:w="1290"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020" w:type="dxa"/>
            <w:vMerge w:val="continue"/>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tc>
        <w:tc>
          <w:tcPr>
            <w:tcW w:w="72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25</w:t>
            </w:r>
          </w:p>
        </w:tc>
        <w:tc>
          <w:tcPr>
            <w:tcW w:w="1200" w:type="dxa"/>
            <w:vAlign w:val="top"/>
          </w:tcPr>
          <w:p>
            <w:pPr>
              <w:numPr>
                <w:ilvl w:val="0"/>
                <w:numId w:val="0"/>
              </w:numPr>
              <w:ind w:left="0" w:leftChars="0" w:firstLine="0" w:firstLineChars="0"/>
              <w:rPr>
                <w:rFonts w:hint="default"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英周 敏</w:t>
            </w:r>
          </w:p>
        </w:tc>
        <w:tc>
          <w:tcPr>
            <w:tcW w:w="1365"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Merge w:val="restart"/>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“C”班</w:t>
            </w:r>
          </w:p>
        </w:tc>
        <w:tc>
          <w:tcPr>
            <w:tcW w:w="754" w:type="dxa"/>
            <w:vAlign w:val="top"/>
          </w:tcPr>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24</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语杨 玲</w:t>
            </w:r>
          </w:p>
        </w:tc>
        <w:tc>
          <w:tcPr>
            <w:tcW w:w="1290" w:type="dxa"/>
            <w:vMerge w:val="restart"/>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p>
            <w:pPr>
              <w:numPr>
                <w:ilvl w:val="0"/>
                <w:numId w:val="0"/>
              </w:numPr>
              <w:ind w:firstLine="240" w:firstLineChars="100"/>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503班</w:t>
            </w:r>
          </w:p>
        </w:tc>
        <w:tc>
          <w:tcPr>
            <w:tcW w:w="1020" w:type="dxa"/>
            <w:vMerge w:val="restart"/>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“C”班</w:t>
            </w:r>
          </w:p>
        </w:tc>
        <w:tc>
          <w:tcPr>
            <w:tcW w:w="720" w:type="dxa"/>
            <w:vAlign w:val="top"/>
          </w:tcPr>
          <w:p>
            <w:pPr>
              <w:numPr>
                <w:ilvl w:val="0"/>
                <w:numId w:val="0"/>
              </w:numPr>
              <w:ind w:left="0" w:leftChars="0" w:firstLine="0" w:firstLineChars="0"/>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16</w:t>
            </w:r>
          </w:p>
        </w:tc>
        <w:tc>
          <w:tcPr>
            <w:tcW w:w="120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语唐荣花</w:t>
            </w:r>
            <w:bookmarkStart w:id="0" w:name="_GoBack"/>
            <w:bookmarkEnd w:id="0"/>
          </w:p>
        </w:tc>
        <w:tc>
          <w:tcPr>
            <w:tcW w:w="1365" w:type="dxa"/>
            <w:vMerge w:val="restart"/>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A栋405</w:t>
            </w: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Merge w:val="continue"/>
          </w:tcPr>
          <w:p>
            <w:pPr>
              <w:numPr>
                <w:ilvl w:val="0"/>
                <w:numId w:val="0"/>
              </w:numPr>
              <w:rPr>
                <w:rFonts w:hint="eastAsia" w:asciiTheme="majorEastAsia" w:hAnsiTheme="majorEastAsia" w:eastAsiaTheme="majorEastAsia" w:cstheme="majorEastAsia"/>
                <w:b w:val="0"/>
                <w:bCs w:val="0"/>
                <w:sz w:val="24"/>
                <w:szCs w:val="24"/>
                <w:vertAlign w:val="baseline"/>
                <w:lang w:val="en-US" w:eastAsia="zh-CN"/>
              </w:rPr>
            </w:pP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24</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数董春霞</w:t>
            </w:r>
          </w:p>
        </w:tc>
        <w:tc>
          <w:tcPr>
            <w:tcW w:w="1290"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020" w:type="dxa"/>
            <w:vMerge w:val="continue"/>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tc>
        <w:tc>
          <w:tcPr>
            <w:tcW w:w="72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16</w:t>
            </w:r>
          </w:p>
        </w:tc>
        <w:tc>
          <w:tcPr>
            <w:tcW w:w="120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数刘国汶</w:t>
            </w:r>
          </w:p>
        </w:tc>
        <w:tc>
          <w:tcPr>
            <w:tcW w:w="1365"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Merge w:val="continue"/>
          </w:tcPr>
          <w:p>
            <w:pPr>
              <w:numPr>
                <w:ilvl w:val="0"/>
                <w:numId w:val="0"/>
              </w:numPr>
              <w:rPr>
                <w:rFonts w:hint="eastAsia" w:asciiTheme="majorEastAsia" w:hAnsiTheme="majorEastAsia" w:eastAsiaTheme="majorEastAsia" w:cstheme="majorEastAsia"/>
                <w:b w:val="0"/>
                <w:bCs w:val="0"/>
                <w:sz w:val="24"/>
                <w:szCs w:val="24"/>
                <w:vertAlign w:val="baseline"/>
                <w:lang w:val="en-US" w:eastAsia="zh-CN"/>
              </w:rPr>
            </w:pPr>
          </w:p>
        </w:tc>
        <w:tc>
          <w:tcPr>
            <w:tcW w:w="754"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24</w:t>
            </w:r>
          </w:p>
        </w:tc>
        <w:tc>
          <w:tcPr>
            <w:tcW w:w="1226"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英聂文彬</w:t>
            </w:r>
          </w:p>
        </w:tc>
        <w:tc>
          <w:tcPr>
            <w:tcW w:w="1290"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020" w:type="dxa"/>
            <w:vMerge w:val="continue"/>
            <w:vAlign w:val="top"/>
          </w:tcPr>
          <w:p>
            <w:pPr>
              <w:numPr>
                <w:ilvl w:val="0"/>
                <w:numId w:val="0"/>
              </w:numPr>
              <w:ind w:left="0" w:leftChars="0" w:firstLine="0" w:firstLineChars="0"/>
              <w:rPr>
                <w:rFonts w:hint="eastAsia" w:asciiTheme="majorEastAsia" w:hAnsiTheme="majorEastAsia" w:eastAsiaTheme="majorEastAsia" w:cstheme="majorEastAsia"/>
                <w:b w:val="0"/>
                <w:bCs w:val="0"/>
                <w:sz w:val="24"/>
                <w:szCs w:val="24"/>
                <w:vertAlign w:val="baseline"/>
                <w:lang w:val="en-US" w:eastAsia="zh-CN"/>
              </w:rPr>
            </w:pPr>
          </w:p>
        </w:tc>
        <w:tc>
          <w:tcPr>
            <w:tcW w:w="72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16</w:t>
            </w:r>
          </w:p>
        </w:tc>
        <w:tc>
          <w:tcPr>
            <w:tcW w:w="1200"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英李嘉欣</w:t>
            </w:r>
          </w:p>
        </w:tc>
        <w:tc>
          <w:tcPr>
            <w:tcW w:w="1365" w:type="dxa"/>
            <w:vMerge w:val="continue"/>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c>
          <w:tcPr>
            <w:tcW w:w="1155" w:type="dxa"/>
          </w:tcPr>
          <w:p>
            <w:pPr>
              <w:numPr>
                <w:ilvl w:val="0"/>
                <w:numId w:val="0"/>
              </w:numPr>
              <w:rPr>
                <w:rFonts w:hint="default" w:asciiTheme="majorEastAsia" w:hAnsiTheme="majorEastAsia" w:eastAsiaTheme="majorEastAsia" w:cstheme="majorEastAsia"/>
                <w:b w:val="0"/>
                <w:bCs w:val="0"/>
                <w:sz w:val="24"/>
                <w:szCs w:val="24"/>
                <w:vertAlign w:val="baseline"/>
                <w:lang w:val="en-US" w:eastAsia="zh-CN"/>
              </w:rPr>
            </w:pPr>
          </w:p>
        </w:tc>
      </w:tr>
    </w:tbl>
    <w:p>
      <w:pPr>
        <w:numPr>
          <w:ilvl w:val="0"/>
          <w:numId w:val="0"/>
        </w:numPr>
        <w:ind w:leftChars="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五、上课时间及放学安排</w:t>
      </w:r>
    </w:p>
    <w:p>
      <w:pPr>
        <w:numPr>
          <w:ilvl w:val="0"/>
          <w:numId w:val="0"/>
        </w:numPr>
        <w:ind w:left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1.上课时间：周 五、1：30—2：30 （60钟分）</w:t>
      </w:r>
    </w:p>
    <w:p>
      <w:pPr>
        <w:numPr>
          <w:ilvl w:val="0"/>
          <w:numId w:val="0"/>
        </w:numPr>
        <w:ind w:firstLine="1960" w:firstLineChars="7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周 日：4：10—5：10 （60分钟）</w:t>
      </w:r>
    </w:p>
    <w:p>
      <w:pPr>
        <w:numPr>
          <w:ilvl w:val="0"/>
          <w:numId w:val="0"/>
        </w:numPr>
        <w:ind w:firstLine="560" w:firstLine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2.周五放学要求：所有学生上课结束之后，回到班级教室集中，由班主任带学生到一楼架空层等家长接；坐校车的学生在教室等候3：30乘坐初中部校车回家，并通知家长在相应的站点接或学生自行回家。</w:t>
      </w:r>
    </w:p>
    <w:p>
      <w:pPr>
        <w:numPr>
          <w:ilvl w:val="0"/>
          <w:numId w:val="2"/>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课酬计算方式</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课酬计算：按照周一至周五的正常主科每节课时费为参考标准，分层分类一节课按照平常1.5节课的课时费计算。</w:t>
      </w:r>
    </w:p>
    <w:p>
      <w:pPr>
        <w:numPr>
          <w:ilvl w:val="0"/>
          <w:numId w:val="2"/>
        </w:numPr>
        <w:ind w:left="0" w:leftChars="0"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分层分类教学考核</w:t>
      </w:r>
    </w:p>
    <w:p>
      <w:pPr>
        <w:numPr>
          <w:ilvl w:val="0"/>
          <w:numId w:val="0"/>
        </w:numPr>
        <w:ind w:left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为确保分层分类教学效果，教务处将重点督查，各位老师教学的过程性管理和学生的成绩提升两个方面。</w:t>
      </w:r>
    </w:p>
    <w:p>
      <w:pPr>
        <w:numPr>
          <w:ilvl w:val="0"/>
          <w:numId w:val="0"/>
        </w:numPr>
        <w:ind w:firstLine="560" w:firstLineChars="20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1.过程性管理：考勤、教学计划、教案、上课纪律、作业批改、测评、学生满意度等；</w:t>
      </w:r>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2.成绩提升方面：</w:t>
      </w:r>
      <w:r>
        <w:rPr>
          <w:rFonts w:hint="default" w:ascii="Calibri" w:hAnsi="Calibri" w:cs="Calibri" w:eastAsiaTheme="majorEastAsia"/>
          <w:b w:val="0"/>
          <w:bCs w:val="0"/>
          <w:sz w:val="28"/>
          <w:szCs w:val="28"/>
          <w:lang w:val="en-US" w:eastAsia="zh-CN"/>
        </w:rPr>
        <w:t>①</w:t>
      </w:r>
      <w:r>
        <w:rPr>
          <w:rFonts w:hint="eastAsia" w:asciiTheme="majorEastAsia" w:hAnsiTheme="majorEastAsia" w:eastAsiaTheme="majorEastAsia" w:cstheme="majorEastAsia"/>
          <w:b w:val="0"/>
          <w:bCs w:val="0"/>
          <w:sz w:val="28"/>
          <w:szCs w:val="28"/>
          <w:lang w:val="en-US" w:eastAsia="zh-CN"/>
        </w:rPr>
        <w:t>期中、期末由教务处组织考试，测评学生成绩的提升状况，</w:t>
      </w:r>
      <w:r>
        <w:rPr>
          <w:rFonts w:hint="default" w:ascii="Calibri" w:hAnsi="Calibri" w:cs="Calibri" w:eastAsiaTheme="majorEastAsia"/>
          <w:b w:val="0"/>
          <w:bCs w:val="0"/>
          <w:sz w:val="28"/>
          <w:szCs w:val="28"/>
          <w:lang w:val="en-US" w:eastAsia="zh-CN"/>
        </w:rPr>
        <w:t>②</w:t>
      </w:r>
      <w:r>
        <w:rPr>
          <w:rFonts w:hint="eastAsia" w:asciiTheme="majorEastAsia" w:hAnsiTheme="majorEastAsia" w:eastAsiaTheme="majorEastAsia" w:cstheme="majorEastAsia"/>
          <w:b w:val="0"/>
          <w:bCs w:val="0"/>
          <w:sz w:val="28"/>
          <w:szCs w:val="28"/>
          <w:lang w:val="en-US" w:eastAsia="zh-CN"/>
        </w:rPr>
        <w:t>辅导学生参加校内外各类竞赛获奖，</w:t>
      </w:r>
      <w:r>
        <w:rPr>
          <w:rFonts w:hint="default" w:ascii="Calibri" w:hAnsi="Calibri" w:cs="Calibri" w:eastAsiaTheme="majorEastAsia"/>
          <w:b w:val="0"/>
          <w:bCs w:val="0"/>
          <w:sz w:val="28"/>
          <w:szCs w:val="28"/>
          <w:lang w:val="en-US" w:eastAsia="zh-CN"/>
        </w:rPr>
        <w:t>③</w:t>
      </w:r>
      <w:r>
        <w:rPr>
          <w:rFonts w:hint="eastAsia" w:asciiTheme="majorEastAsia" w:hAnsiTheme="majorEastAsia" w:eastAsiaTheme="majorEastAsia" w:cstheme="majorEastAsia"/>
          <w:b w:val="0"/>
          <w:bCs w:val="0"/>
          <w:sz w:val="28"/>
          <w:szCs w:val="28"/>
          <w:lang w:val="en-US" w:eastAsia="zh-CN"/>
        </w:rPr>
        <w:t>六年级小升初为初中部输送优秀生源情况。</w:t>
      </w:r>
    </w:p>
    <w:p>
      <w:pPr>
        <w:numPr>
          <w:ilvl w:val="0"/>
          <w:numId w:val="0"/>
        </w:numPr>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八、本方案未尽事宜，解释权归教务处。</w:t>
      </w:r>
    </w:p>
    <w:p>
      <w:pPr>
        <w:numPr>
          <w:ilvl w:val="0"/>
          <w:numId w:val="0"/>
        </w:numPr>
        <w:ind w:firstLine="560"/>
        <w:rPr>
          <w:rFonts w:hint="default" w:asciiTheme="majorEastAsia" w:hAnsiTheme="majorEastAsia" w:eastAsiaTheme="majorEastAsia" w:cstheme="majorEastAsia"/>
          <w:b w:val="0"/>
          <w:bCs w:val="0"/>
          <w:sz w:val="28"/>
          <w:szCs w:val="28"/>
          <w:lang w:val="en-US" w:eastAsia="zh-CN"/>
        </w:rPr>
      </w:pPr>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花广金狮学校小学部教务处</w:t>
      </w:r>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2022/9/6</w:t>
      </w:r>
    </w:p>
    <w:p>
      <w:pPr>
        <w:numPr>
          <w:ilvl w:val="0"/>
          <w:numId w:val="0"/>
        </w:numPr>
        <w:ind w:firstLine="560"/>
        <w:rPr>
          <w:rFonts w:hint="default" w:asciiTheme="majorEastAsia" w:hAnsiTheme="majorEastAsia" w:eastAsiaTheme="majorEastAsia" w:cstheme="majorEastAsia"/>
          <w:b w:val="0"/>
          <w:bCs w:val="0"/>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6C10A"/>
    <w:multiLevelType w:val="singleLevel"/>
    <w:tmpl w:val="E896C10A"/>
    <w:lvl w:ilvl="0" w:tentative="0">
      <w:start w:val="6"/>
      <w:numFmt w:val="chineseCounting"/>
      <w:suff w:val="nothing"/>
      <w:lvlText w:val="%1、"/>
      <w:lvlJc w:val="left"/>
      <w:rPr>
        <w:rFonts w:hint="eastAsia"/>
      </w:rPr>
    </w:lvl>
  </w:abstractNum>
  <w:abstractNum w:abstractNumId="1">
    <w:nsid w:val="6D85D4A1"/>
    <w:multiLevelType w:val="singleLevel"/>
    <w:tmpl w:val="6D85D4A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hhYzAzYzRkMzBlZDQ3M2RjOGEyNTcwN2IxYmUifQ=="/>
  </w:docVars>
  <w:rsids>
    <w:rsidRoot w:val="00000000"/>
    <w:rsid w:val="001866BA"/>
    <w:rsid w:val="01854DF6"/>
    <w:rsid w:val="039D3B57"/>
    <w:rsid w:val="066D5EFC"/>
    <w:rsid w:val="0C310C9A"/>
    <w:rsid w:val="0CDA649E"/>
    <w:rsid w:val="1160370B"/>
    <w:rsid w:val="12D16E3B"/>
    <w:rsid w:val="12EC229C"/>
    <w:rsid w:val="14A54783"/>
    <w:rsid w:val="15CA3EFC"/>
    <w:rsid w:val="1F7A5D88"/>
    <w:rsid w:val="1FB6602D"/>
    <w:rsid w:val="21F91F85"/>
    <w:rsid w:val="24154B74"/>
    <w:rsid w:val="24A217AC"/>
    <w:rsid w:val="25560A6D"/>
    <w:rsid w:val="257F3047"/>
    <w:rsid w:val="27114F21"/>
    <w:rsid w:val="2C76065F"/>
    <w:rsid w:val="2E50119E"/>
    <w:rsid w:val="2EF31BB6"/>
    <w:rsid w:val="31EA5FAE"/>
    <w:rsid w:val="333B2CFC"/>
    <w:rsid w:val="3634211E"/>
    <w:rsid w:val="380D1E8F"/>
    <w:rsid w:val="38FE5F2A"/>
    <w:rsid w:val="3ABA15FA"/>
    <w:rsid w:val="3CAE0581"/>
    <w:rsid w:val="3D017FBB"/>
    <w:rsid w:val="3F3E2E62"/>
    <w:rsid w:val="40FE6422"/>
    <w:rsid w:val="41002113"/>
    <w:rsid w:val="410A45DD"/>
    <w:rsid w:val="4278319F"/>
    <w:rsid w:val="49FA79D1"/>
    <w:rsid w:val="4A040CB3"/>
    <w:rsid w:val="4A3600DE"/>
    <w:rsid w:val="4EB574BA"/>
    <w:rsid w:val="4F76206A"/>
    <w:rsid w:val="4FD51643"/>
    <w:rsid w:val="5100038B"/>
    <w:rsid w:val="51552E74"/>
    <w:rsid w:val="523874B5"/>
    <w:rsid w:val="54A17871"/>
    <w:rsid w:val="56332E76"/>
    <w:rsid w:val="58AC26BE"/>
    <w:rsid w:val="59080872"/>
    <w:rsid w:val="5ABA2CA1"/>
    <w:rsid w:val="5CF83229"/>
    <w:rsid w:val="5DC73739"/>
    <w:rsid w:val="5F881C77"/>
    <w:rsid w:val="61F6035F"/>
    <w:rsid w:val="62147D2F"/>
    <w:rsid w:val="62D61DD6"/>
    <w:rsid w:val="631321A0"/>
    <w:rsid w:val="64DF1190"/>
    <w:rsid w:val="6642526B"/>
    <w:rsid w:val="677F44C9"/>
    <w:rsid w:val="67E138F2"/>
    <w:rsid w:val="6B9E1435"/>
    <w:rsid w:val="6C350643"/>
    <w:rsid w:val="6E103E75"/>
    <w:rsid w:val="6EF32BA4"/>
    <w:rsid w:val="6F7E4E45"/>
    <w:rsid w:val="6F8F746C"/>
    <w:rsid w:val="700648F4"/>
    <w:rsid w:val="70B83CEB"/>
    <w:rsid w:val="717F290D"/>
    <w:rsid w:val="73B92C99"/>
    <w:rsid w:val="75A02A55"/>
    <w:rsid w:val="789D11CD"/>
    <w:rsid w:val="791F31F5"/>
    <w:rsid w:val="7BBA28B2"/>
    <w:rsid w:val="7E484F9C"/>
    <w:rsid w:val="7F9B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1281</Words>
  <Characters>1342</Characters>
  <Lines>0</Lines>
  <Paragraphs>0</Paragraphs>
  <TotalTime>47</TotalTime>
  <ScaleCrop>false</ScaleCrop>
  <LinksUpToDate>false</LinksUpToDate>
  <CharactersWithSpaces>1452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2022-09-06T01:01:00Z</dcterms:created>
  <dc:creator>Administrator</dc:creator>
  <cp:lastModifiedBy>Administrator</cp:lastModifiedBy>
  <dcterms:modified xsi:type="dcterms:W3CDTF">2022-09-09T01:20:22Z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9F48BCBFEAE049DD802CFB6EEAD74BED</vt:lpwstr>
  </property>
</Properties>
</file>