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2022-2023学年第一学期10月10日</w:t>
      </w:r>
    </w:p>
    <w:p>
      <w:pPr>
        <w:jc w:val="center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门框上有灰；地面拖完有污渍；书架未擦拭有灰。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窗户平台、开关盒上有灰；墙角有残渣。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角落未打扫干净；模型台未擦拭干净。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>
      <w:pP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地面有垃圾未打扫干净；演讲台未整理好；窗台未擦拭干净。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门和墙上有灰尘污渍；垃圾桶内有垃圾未倒。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垃圾未倒；地面未打扫干净有污渍；门上有灰；物品摆放不整齐。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地面有垃圾；窗户缝隙未擦拭干净；物品摆放不整齐。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门框上有灰；空调顶上有灰。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地面拖完污渍较多；桌面有灰；地面有残渣未打扫干净。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书柜未擦拭干净。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72576E79"/>
    <w:rsid w:val="725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2022-10-11T07:33:00Z</dcterms:created>
  <dc:creator>夰丨輘</dc:creator>
  <cp:lastModifiedBy>夰丨輘</cp:lastModifiedBy>
  <dcterms:modified xsi:type="dcterms:W3CDTF">2022-10-11T07:48:24Z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641C5E5497894F0F93C362E79A5BD248</vt:lpwstr>
  </property>
</Properties>
</file>