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</w:rPr>
        <w:t>-20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 w:cs="黑体"/>
          <w:sz w:val="44"/>
          <w:szCs w:val="44"/>
        </w:rPr>
        <w:t>学年第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学期班主任工作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计划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初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 xml:space="preserve">(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)班     班主任：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杨艳平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学生情况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本学年度，本人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继续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担任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年级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班的班主任，我将从本班学生的实际情况出发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及积累的经验总结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做好班级管理工作。经过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的陪伴和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观察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总体上师生关系和谐，布置下去的工作，学生积极配合，他们也愿意和我分享他们生活的点点滴滴。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师生关系融洽和谐，生生关系和平有爱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。但我们班的学生仍存在着作业爱偷懒，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部分学生学习无动力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，自律性较差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的学习问题。部分学生与家长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关系紧张，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害怕来学校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心理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指导思想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以学校德育教育的思路为指导，结合初二年级学生个性特点，以人为本，爱阅读，爱运动，爱分享，不妨碍他人，做最好的自己。面向全体学生，培养德、智、体、美、劳全面发展，成就非凡的自己。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具体措施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继续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培养学生班干部，践行班干部自治，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班级自治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继续执行班长值周制，两名班长值日一周。全方位培养值周班长责任心及做事态度，做好值周记录。课代表，卫生委员等班干部的培训手把手教，放手让他们去做。培养良好学风，敢于争先，培养自律。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二、利用班会课，表扬鼓励班级优点，疏导班级存在的问题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认真观察班级学生状态，关注班级的优点，及时用班会课进行肯定和表扬。总结班级每周存在的问题，利用班会课进行疏导。事事有回馈，事事有回音。善用讲故事的方法和孩子们一起发现问题，分析问题，解决问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抓好班级常规工作，重视常规考核分数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班级常规工作是一个班级的每日常规的体现，他是一面班级管理的镜子，观察统计班级常规考核分数，调整班级问题。争取每周的流动红旗，争做年级先锋班。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三、继续有技巧地做好家校沟通工作，开心地鼓励学生，亲切地批评学生。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通过和学生聊天和相处了解到，我们班有几个家长喜欢用武力解决孩子，导致孩子有自残倾向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在与这些家长沟通时，一定一定要注意保护孩子。不能孩子因为我的沟通，不仅没有解决问题，还让孩子被家长解决。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允许孩子犯错，干预指导孩子们改正错误。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发现孩子的优点，鼓励他们利用自己的优点不断成为更好地自己。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四、密切关注心理异常学生，通过聊天疏导学生心理问题。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寝室是一个非常好的与孩子打开心扉的地方，多下寝室，多通过自己的眼睛和别人的眼睛了解班上孩子心理动态。积极聊天疏导学生心理问题。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配合科任老师抓好各门功课，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做好早早读，培优辅差，等工作。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配合老师们挑选合格优秀的班干部，落实每个科目的早早读，作业，培优辅差等工作。争取做到每个科目均衡发展，时间充沛尽量往理科倾斜。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我需要学习的东西还很多很多，我要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不断向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身边优秀同事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学习的同时，加强班主任工作的理论学习，努力抓好各项常规工作，从学校的日常检查工作做起，协助任课教师，积极创造良好的班风和学风，争取在本学年中做到稳步前进，成为一个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优秀的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班集体。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孩子们是变化的，我应该加强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阅读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学习和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案例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反思，成就非凡的自己，成就非凡的学生而努力。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905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312420" cy="298450"/>
          <wp:effectExtent l="0" t="0" r="1905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1312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4FA5B"/>
    <w:multiLevelType w:val="singleLevel"/>
    <w:tmpl w:val="0724F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FEAE51"/>
    <w:multiLevelType w:val="singleLevel"/>
    <w:tmpl w:val="20FEAE5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ZTY5YWJmMTRkMDY2YzY0NmU0ZDEyNjU1MDVlYjcifQ=="/>
  </w:docVars>
  <w:rsids>
    <w:rsidRoot w:val="17D861F8"/>
    <w:rsid w:val="04FB18A7"/>
    <w:rsid w:val="17D861F8"/>
    <w:rsid w:val="22C31939"/>
    <w:rsid w:val="279C2EFA"/>
    <w:rsid w:val="30F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1089</Characters>
  <Lines>0</Lines>
  <Paragraphs>0</Paragraphs>
  <TotalTime>13</TotalTime>
  <ScaleCrop>false</ScaleCrop>
  <LinksUpToDate>false</LinksUpToDate>
  <CharactersWithSpaces>1097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2022-08-26T03:21:00Z</dcterms:created>
  <dc:creator>Smile</dc:creator>
  <cp:lastModifiedBy>杨进John</cp:lastModifiedBy>
  <dcterms:modified xsi:type="dcterms:W3CDTF">2023-02-04T03:21:37Z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F22CCACCAAF6429A82FDB4AC6A8315E4</vt:lpwstr>
  </property>
</Properties>
</file>