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
          <w:b/>
          <w:bCs/>
          <w:sz w:val="44"/>
          <w:szCs w:val="44"/>
          <w:lang w:val="en-US" w:eastAsia="zh-CN"/>
        </w:rPr>
      </w:pPr>
      <w:r>
        <w:rPr>
          <w:rFonts w:hint="eastAsia" w:ascii="黑体" w:hAnsi="黑体" w:eastAsia="黑体" w:cs="仿宋"/>
          <w:b/>
          <w:bCs/>
          <w:sz w:val="44"/>
          <w:szCs w:val="44"/>
        </w:rPr>
        <w:t>202</w:t>
      </w:r>
      <w:r>
        <w:rPr>
          <w:rFonts w:hint="eastAsia" w:ascii="黑体" w:hAnsi="黑体" w:eastAsia="黑体" w:cs="仿宋"/>
          <w:b/>
          <w:bCs/>
          <w:sz w:val="44"/>
          <w:szCs w:val="44"/>
          <w:lang w:val="en-US" w:eastAsia="zh-CN"/>
        </w:rPr>
        <w:t>3</w:t>
      </w:r>
      <w:r>
        <w:rPr>
          <w:rFonts w:hint="eastAsia" w:ascii="黑体" w:hAnsi="黑体" w:eastAsia="黑体" w:cs="仿宋"/>
          <w:b/>
          <w:bCs/>
          <w:sz w:val="44"/>
          <w:szCs w:val="44"/>
        </w:rPr>
        <w:t>-202</w:t>
      </w:r>
      <w:r>
        <w:rPr>
          <w:rFonts w:hint="eastAsia" w:ascii="黑体" w:hAnsi="黑体" w:eastAsia="黑体" w:cs="仿宋"/>
          <w:b/>
          <w:bCs/>
          <w:sz w:val="44"/>
          <w:szCs w:val="44"/>
          <w:lang w:val="en-US" w:eastAsia="zh-CN"/>
        </w:rPr>
        <w:t>4</w:t>
      </w:r>
      <w:r>
        <w:rPr>
          <w:rFonts w:hint="eastAsia" w:ascii="黑体" w:hAnsi="黑体" w:eastAsia="黑体" w:cs="仿宋"/>
          <w:b/>
          <w:bCs/>
          <w:sz w:val="44"/>
          <w:szCs w:val="44"/>
        </w:rPr>
        <w:t>学年第</w:t>
      </w:r>
      <w:r>
        <w:rPr>
          <w:rFonts w:hint="eastAsia" w:ascii="黑体" w:hAnsi="黑体" w:eastAsia="黑体" w:cs="仿宋"/>
          <w:b/>
          <w:bCs/>
          <w:sz w:val="44"/>
          <w:szCs w:val="44"/>
          <w:lang w:val="en-US" w:eastAsia="zh-CN"/>
        </w:rPr>
        <w:t>一</w:t>
      </w:r>
      <w:r>
        <w:rPr>
          <w:rFonts w:hint="eastAsia" w:ascii="黑体" w:hAnsi="黑体" w:eastAsia="黑体" w:cs="仿宋"/>
          <w:b/>
          <w:bCs/>
          <w:sz w:val="44"/>
          <w:szCs w:val="44"/>
        </w:rPr>
        <w:t>学期</w:t>
      </w:r>
      <w:r>
        <w:rPr>
          <w:rFonts w:hint="eastAsia" w:ascii="黑体" w:hAnsi="黑体" w:eastAsia="黑体" w:cs="仿宋"/>
          <w:b/>
          <w:bCs/>
          <w:sz w:val="44"/>
          <w:szCs w:val="44"/>
          <w:lang w:val="en-US" w:eastAsia="zh-CN"/>
        </w:rPr>
        <w:t>八</w:t>
      </w:r>
      <w:r>
        <w:rPr>
          <w:rFonts w:hint="eastAsia" w:ascii="黑体" w:hAnsi="黑体" w:eastAsia="黑体" w:cs="仿宋"/>
          <w:b/>
          <w:bCs/>
          <w:sz w:val="44"/>
          <w:szCs w:val="44"/>
          <w:lang w:eastAsia="zh-CN"/>
        </w:rPr>
        <w:t>年级</w:t>
      </w:r>
      <w:r>
        <w:rPr>
          <w:rFonts w:hint="eastAsia" w:ascii="黑体" w:hAnsi="黑体" w:eastAsia="黑体" w:cs="仿宋"/>
          <w:b/>
          <w:bCs/>
          <w:sz w:val="44"/>
          <w:szCs w:val="44"/>
          <w:lang w:val="en-US" w:eastAsia="zh-CN"/>
        </w:rPr>
        <w:t>生物</w:t>
      </w:r>
    </w:p>
    <w:p>
      <w:pPr>
        <w:jc w:val="center"/>
        <w:rPr>
          <w:rFonts w:hint="eastAsia" w:ascii="黑体" w:hAnsi="黑体" w:eastAsia="黑体" w:cs="仿宋"/>
          <w:b/>
          <w:bCs/>
          <w:sz w:val="44"/>
          <w:szCs w:val="44"/>
        </w:rPr>
      </w:pPr>
      <w:r>
        <w:rPr>
          <w:rFonts w:hint="eastAsia" w:ascii="黑体" w:hAnsi="黑体" w:eastAsia="黑体" w:cs="仿宋"/>
          <w:b/>
          <w:bCs/>
          <w:sz w:val="44"/>
          <w:szCs w:val="44"/>
          <w:lang w:eastAsia="zh-CN"/>
        </w:rPr>
        <w:t>工作</w:t>
      </w:r>
      <w:r>
        <w:rPr>
          <w:rFonts w:hint="eastAsia" w:ascii="黑体" w:hAnsi="黑体" w:eastAsia="黑体" w:cs="仿宋"/>
          <w:b/>
          <w:bCs/>
          <w:sz w:val="44"/>
          <w:szCs w:val="44"/>
        </w:rPr>
        <w:t>计划</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惠翠</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学生情况分析</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另一方面，不少学生在学习过程中仍然存在目标不明确、自制力不强、主动性不足等问题，具体表现是学习习惯懒散、注意力不集中、不按时完成作业，好奇心有余而自觉性不足，学习成绩存在两极分化的趋势。</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教材分析</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1、关于第五单元的内容我主要分两个部分进行分析</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（1）、关于动物部分</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教材先探讨生物圈中有哪些动物，它们分别有哪些与各自环境相适应的特征，再探讨它们的运动、行为以及在生物路边中的作用，其知识结构简图如下：</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（2）、关于细菌、真菌部分</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对应，却都是为了更好地体现课程标准突出人与生物圈的思路。在说到细菌和真菌与人类的关系时，必然要说到发酵食品的制作等日常生活中常用的生物技术，因此，将课程标准中这两项内容合在一起。</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2、关于第六单元的教材分析</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第六单元包括生物的分类、生物多样性的概念、现状及保护对策等。</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keepNext w:val="0"/>
        <w:keepLines w:val="0"/>
        <w:pageBreakBefore w:val="0"/>
        <w:widowControl w:val="0"/>
        <w:numPr>
          <w:ilvl w:val="0"/>
          <w:numId w:val="1"/>
        </w:numPr>
        <w:kinsoku/>
        <w:wordWrap/>
        <w:overflowPunct/>
        <w:topLinePunct w:val="0"/>
        <w:autoSpaceDE/>
        <w:autoSpaceDN/>
        <w:bidi w:val="0"/>
        <w:adjustRightInd/>
        <w:snapToGrid/>
        <w:ind w:left="420" w:leftChars="20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教学目标：</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通过义务教育阶段《生物学》（八年级上册）课程的学习，逐步实现以下发展目标：</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1、认识动物的主要类群及其对环境的适应性特征。</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2、了解动物在自然界中的作用及其与人类的关系。</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3、了解细菌和真菌的主要特征以及与人类的关系。</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4、通过活动体验生物的分类是根据不同生物的形态结构特征上的相似程度来进行的。</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5、了解生物的多样性及其价值。</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6.培养学生的实践操作能力和实验设计能力。如：进行饲养和观察蚯蚓、调查动物在人们生活中的作用、检测不同环境中的细菌和真菌、制作甜酒等与日常生活密切相关的活动。</w:t>
      </w:r>
    </w:p>
    <w:p>
      <w:pPr>
        <w:keepNext w:val="0"/>
        <w:keepLines w:val="0"/>
        <w:pageBreakBefore w:val="0"/>
        <w:widowControl w:val="0"/>
        <w:numPr>
          <w:numId w:val="0"/>
        </w:numPr>
        <w:kinsoku/>
        <w:wordWrap/>
        <w:overflowPunct/>
        <w:topLinePunct w:val="0"/>
        <w:autoSpaceDE/>
        <w:autoSpaceDN/>
        <w:bidi w:val="0"/>
        <w:adjustRightInd/>
        <w:snapToGrid/>
        <w:ind w:leftChars="4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7、培养学生收集和处理信息的能力，丰富学生获取知识的渠道，拓展学生的知识面。如：进行生物学相关信息资料的查询和收集。</w:t>
      </w:r>
    </w:p>
    <w:p>
      <w:pPr>
        <w:keepNext w:val="0"/>
        <w:keepLines w:val="0"/>
        <w:pageBreakBefore w:val="0"/>
        <w:widowControl w:val="0"/>
        <w:kinsoku/>
        <w:wordWrap/>
        <w:overflowPunct/>
        <w:topLinePunct w:val="0"/>
        <w:autoSpaceDE/>
        <w:autoSpaceDN/>
        <w:bidi w:val="0"/>
        <w:adjustRightInd/>
        <w:snapToGrid/>
        <w:ind w:left="420" w:leftChars="20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四、教学措施：</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1、根据新课程标准的基本要求，认真研究教材和新课程的相关知识，将新课程理念融会于日常教学活动中，激发学生的学习兴趣，在传授知识的同时使同学们能在轻松愉悦的环境中学习知识。</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2、研究每个知识点，根据课程标准所规定的教学层次，严格控制深度和广度，掌握每个重点和难点，采用现代化的教学手段和教学模式，提高学生对知识的理解。</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3、加强备课的环节和内容设计，既要启发和引导学生对知识自主学习，体现学生学习的自觉主动性，又要发挥教师的指导作用，在教学过程中体现师生互动的教学新境界。</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4、通过观察、思考、探究、实验和资料分析等活动，加深体验科学探究的一般过程，进一步提高提出问题，作出假设，制定并实施探究计划，记录和分析探究结果等技能和发展科学探究能力。</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5、重视实验教学，提高学生的动手操作能力。</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6、通过作业题加强引导学生的知识迁移和发散思维。</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7、积极参加学校和各级组织的学习进修机会，继续学习有关的教育理论，从各个方面充实自己，使自己的知识水平在已有的基础上更上一层楼。</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加强学科教研，积极向其他优秀教师请教，既包括知识方面也包含教学方法和技巧，更重要的是学习他们先进的教学经验，并加以优化利用，取他人之长补自己之短，从本质上提高教学水平，使教学成绩有较大的提高。</w:t>
      </w:r>
    </w:p>
    <w:p>
      <w:pPr>
        <w:keepNext w:val="0"/>
        <w:keepLines w:val="0"/>
        <w:pageBreakBefore w:val="0"/>
        <w:widowControl w:val="0"/>
        <w:kinsoku/>
        <w:wordWrap/>
        <w:overflowPunct/>
        <w:topLinePunct w:val="0"/>
        <w:autoSpaceDE/>
        <w:autoSpaceDN/>
        <w:bidi w:val="0"/>
        <w:adjustRightInd/>
        <w:snapToGrid/>
        <w:ind w:left="420" w:leftChars="200"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五、教学进度表：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676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sz w:val="28"/>
                <w:szCs w:val="28"/>
                <w:vertAlign w:val="baseline"/>
                <w:lang w:val="en-US" w:eastAsia="zh-CN"/>
              </w:rPr>
            </w:pPr>
            <w:r>
              <w:rPr>
                <w:rFonts w:hint="eastAsia" w:ascii="黑体" w:hAnsi="黑体" w:eastAsia="黑体" w:cs="黑体"/>
                <w:b/>
                <w:sz w:val="28"/>
                <w:szCs w:val="28"/>
                <w:vertAlign w:val="baseline"/>
                <w:lang w:val="en-US" w:eastAsia="zh-CN"/>
              </w:rPr>
              <w:t>周次</w:t>
            </w:r>
          </w:p>
        </w:tc>
        <w:tc>
          <w:tcPr>
            <w:tcW w:w="676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sz w:val="28"/>
                <w:szCs w:val="28"/>
                <w:vertAlign w:val="baseline"/>
                <w:lang w:val="en-US" w:eastAsia="zh-CN"/>
              </w:rPr>
            </w:pPr>
            <w:r>
              <w:rPr>
                <w:rFonts w:hint="eastAsia" w:ascii="黑体" w:hAnsi="黑体" w:eastAsia="黑体" w:cs="黑体"/>
                <w:b/>
                <w:sz w:val="28"/>
                <w:szCs w:val="28"/>
                <w:vertAlign w:val="baseline"/>
                <w:lang w:val="en-US" w:eastAsia="zh-CN"/>
              </w:rPr>
              <w:t>教学内容</w:t>
            </w:r>
          </w:p>
        </w:tc>
        <w:tc>
          <w:tcPr>
            <w:tcW w:w="83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sz w:val="28"/>
                <w:szCs w:val="28"/>
                <w:vertAlign w:val="baseline"/>
                <w:lang w:val="en-US" w:eastAsia="zh-CN"/>
              </w:rPr>
            </w:pPr>
            <w:r>
              <w:rPr>
                <w:rFonts w:hint="eastAsia" w:ascii="黑体" w:hAnsi="黑体" w:eastAsia="黑体" w:cs="黑体"/>
                <w:b/>
                <w:sz w:val="28"/>
                <w:szCs w:val="28"/>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第一章 第一节 腔肠动物和扁形动物</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第一章 第二节 线形动物和环节动物</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第一章 第三节 软体动物和节肢动物</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3</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第一章 第四节 鱼</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4</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第一章 第五节 两栖动物和爬行动物</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第一章 第六节 鸟</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5</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假期</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6</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第一章 第七节 哺乳动物</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第二章 第一节 动物的运动</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7</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第二章 第二节 先天行为和学习行为</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第二章 第三节 社会行为</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8</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第五单元 第三章 第一节 动物在生物圈中的作用</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highlight w:val="none"/>
                <w:vertAlign w:val="baseline"/>
                <w:lang w:val="en-US" w:eastAsia="zh-CN"/>
              </w:rPr>
              <w:t>第五单元 第四章 第一节 细菌和真菌的分布</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9</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sz w:val="21"/>
                <w:szCs w:val="21"/>
                <w:highlight w:val="none"/>
                <w:vertAlign w:val="baseline"/>
                <w:lang w:val="en-US" w:eastAsia="zh-CN"/>
              </w:rPr>
            </w:pPr>
            <w:r>
              <w:rPr>
                <w:rFonts w:hint="eastAsia" w:ascii="黑体" w:hAnsi="黑体" w:eastAsia="黑体" w:cs="黑体"/>
                <w:b w:val="0"/>
                <w:bCs/>
                <w:sz w:val="21"/>
                <w:szCs w:val="21"/>
                <w:highlight w:val="none"/>
                <w:vertAlign w:val="baseline"/>
                <w:lang w:val="en-US" w:eastAsia="zh-CN"/>
              </w:rPr>
              <w:t>第五单元 第四章 第二节 细菌</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highlight w:val="none"/>
                <w:vertAlign w:val="baseline"/>
                <w:lang w:val="en-US" w:eastAsia="zh-CN"/>
              </w:rPr>
            </w:pPr>
            <w:r>
              <w:rPr>
                <w:rFonts w:hint="eastAsia" w:ascii="黑体" w:hAnsi="黑体" w:eastAsia="黑体" w:cs="黑体"/>
                <w:b w:val="0"/>
                <w:bCs/>
                <w:sz w:val="21"/>
                <w:szCs w:val="21"/>
                <w:highlight w:val="none"/>
                <w:vertAlign w:val="baseline"/>
                <w:lang w:val="en-US" w:eastAsia="zh-CN"/>
              </w:rPr>
              <w:t>第五单元 第四章 第三节 真菌</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10</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highlight w:val="none"/>
                <w:vertAlign w:val="baseline"/>
                <w:lang w:val="en-US" w:eastAsia="zh-CN"/>
              </w:rPr>
            </w:pPr>
            <w:r>
              <w:rPr>
                <w:rFonts w:hint="eastAsia" w:ascii="黑体" w:hAnsi="黑体" w:eastAsia="黑体" w:cs="黑体"/>
                <w:b w:val="0"/>
                <w:bCs/>
                <w:sz w:val="21"/>
                <w:szCs w:val="21"/>
                <w:highlight w:val="none"/>
                <w:vertAlign w:val="baseline"/>
                <w:lang w:val="en-US" w:eastAsia="zh-CN"/>
              </w:rPr>
              <w:t>第五单元 第四章 第四节 细菌和真菌在自然界中的作用</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highlight w:val="none"/>
                <w:vertAlign w:val="baseline"/>
                <w:lang w:val="en-US" w:eastAsia="zh-CN"/>
              </w:rPr>
              <w:t>第五单元 第四章 第五节 人类对细菌和真菌的利用</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11</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highlight w:val="none"/>
                <w:vertAlign w:val="baseline"/>
                <w:lang w:val="en-US" w:eastAsia="zh-CN"/>
              </w:rPr>
              <w:t>第五单元 第五章 第一节 病毒</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highlight w:val="none"/>
                <w:vertAlign w:val="baseline"/>
                <w:lang w:val="en-US" w:eastAsia="zh-CN"/>
              </w:rPr>
              <w:t>第六单元 第一章 第一节 尝试对生物进行分类</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12</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highlight w:val="none"/>
                <w:vertAlign w:val="baseline"/>
                <w:lang w:val="en-US" w:eastAsia="zh-CN"/>
              </w:rPr>
              <w:t>第六单元 第一章 第二节 从种到界</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13</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highlight w:val="none"/>
                <w:vertAlign w:val="baseline"/>
                <w:lang w:val="en-US" w:eastAsia="zh-CN"/>
              </w:rPr>
              <w:t>第六单元 第二章 第一节 认识生物的多样性</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highlight w:val="none"/>
                <w:vertAlign w:val="baseline"/>
                <w:lang w:val="en-US" w:eastAsia="zh-CN"/>
              </w:rPr>
              <w:t>第六单元 第三章 第一节 保护生物的多样性</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14</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复习第五单元第一章</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15</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复习第五单元第二章、第三章</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16</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复习第五单元第四章、第五章</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17</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复习第六单元</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18</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总复习</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19</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总复习</w:t>
            </w:r>
            <w:bookmarkStart w:id="0" w:name="_GoBack"/>
            <w:bookmarkEnd w:id="0"/>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20</w:t>
            </w:r>
          </w:p>
        </w:tc>
        <w:tc>
          <w:tcPr>
            <w:tcW w:w="6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总复习</w:t>
            </w:r>
          </w:p>
        </w:tc>
        <w:tc>
          <w:tcPr>
            <w:tcW w:w="8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2</w:t>
            </w:r>
          </w:p>
        </w:tc>
      </w:tr>
    </w:tbl>
    <w:p>
      <w:pPr>
        <w:keepNext w:val="0"/>
        <w:keepLines w:val="0"/>
        <w:pageBreakBefore w:val="0"/>
        <w:widowControl w:val="0"/>
        <w:kinsoku/>
        <w:wordWrap/>
        <w:overflowPunct/>
        <w:topLinePunct w:val="0"/>
        <w:autoSpaceDE/>
        <w:autoSpaceDN/>
        <w:bidi w:val="0"/>
        <w:adjustRightInd/>
        <w:snapToGrid/>
        <w:ind w:left="420" w:leftChars="200" w:firstLine="562" w:firstLineChars="200"/>
        <w:textAlignment w:val="auto"/>
        <w:rPr>
          <w:rFonts w:hint="default" w:ascii="仿宋" w:hAnsi="仿宋" w:eastAsia="仿宋" w:cs="仿宋"/>
          <w:b/>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1"/>
        <w:tab w:val="center" w:pos="4213"/>
      </w:tabs>
      <w:jc w:val="left"/>
    </w:pP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iJx0wAAAAkBAAAPAAAAAAAAAAEAIAAAACIAAABkcnMvZG93bnJl&#10;di54bWxQSwECFAAUAAAACACHTuJABG+QoMkBAACZAwAADgAAAAAAAAABACAAAAAiAQAAZHJzL2Uy&#10;b0RvYy54bWxQSwUGAAAAAAYABgBZAQAAXQ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15875</wp:posOffset>
          </wp:positionV>
          <wp:extent cx="932180" cy="198120"/>
          <wp:effectExtent l="0" t="0" r="12700" b="0"/>
          <wp:wrapNone/>
          <wp:docPr id="5"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lang w:eastAsia="zh-CN"/>
      </w:rPr>
      <w:tab/>
    </w:r>
    <w:r>
      <w:rPr>
        <w:rFonts w:hint="eastAsia" w:ascii="楷体" w:hAnsi="楷体" w:eastAsia="楷体" w:cs="楷体"/>
        <w:lang w:eastAsia="zh-CN"/>
      </w:rPr>
      <w:tab/>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华文行楷" w:eastAsia="华文行楷"/>
        <w:sz w:val="21"/>
        <w:szCs w:val="21"/>
      </w:rPr>
    </w:pP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312420" cy="298450"/>
          <wp:effectExtent l="0" t="0" r="7620" b="6350"/>
          <wp:wrapSquare wrapText="bothSides"/>
          <wp:docPr id="1" name="图片 1" descr="新徽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徽章"/>
                  <pic:cNvPicPr>
                    <a:picLocks noChangeAspect="1"/>
                  </pic:cNvPicPr>
                </pic:nvPicPr>
                <pic:blipFill>
                  <a:blip r:embed="rId1"/>
                  <a:stretch>
                    <a:fillRect/>
                  </a:stretch>
                </pic:blipFill>
                <pic:spPr>
                  <a:xfrm>
                    <a:off x="0" y="0"/>
                    <a:ext cx="312420" cy="29845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3886200</wp:posOffset>
          </wp:positionH>
          <wp:positionV relativeFrom="paragraph">
            <wp:posOffset>-18415</wp:posOffset>
          </wp:positionV>
          <wp:extent cx="1333500" cy="281305"/>
          <wp:effectExtent l="0" t="0" r="7620" b="825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花广金狮</w:t>
    </w:r>
    <w:r>
      <w:rPr>
        <w:rFonts w:hint="eastAsia" w:ascii="华文行楷" w:eastAsia="华文行楷"/>
        <w:sz w:val="21"/>
        <w:szCs w:val="21"/>
      </w:rPr>
      <w:t>学校</w:t>
    </w:r>
  </w:p>
  <w:p>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wp:posOffset>
              </wp:positionV>
              <wp:extent cx="5029200" cy="17780"/>
              <wp:effectExtent l="0" t="7620" r="0" b="2032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pt;margin-top:0.45pt;height:1.4pt;width:396pt;z-index:251660288;mso-width-relative:page;mso-height-relative:page;" filled="f" stroked="t" coordsize="21600,21600" o:gfxdata="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XHCntUAAAAFAQAADwAAAAAAAAABACAAAAAiAAAA&#10;ZHJzL2Rvd25yZXYueG1sUEsBAhQAFAAAAAgAh07iQAqOQ/gKAgAAAQQAAA4AAAAAAAAAAQAgAAAA&#10;JAEAAGRycy9lMm9Eb2MueG1sUEsFBgAAAAAGAAYAWQEAAKAFAAAAAA==&#10;">
              <v:fill on="f" focussize="0,0"/>
              <v:stroke weight="1.25pt" color="#739CC3" joinstyle="round"/>
              <v:imagedata o:title=""/>
              <o:lock v:ext="edit" aspectratio="f"/>
            </v:line>
          </w:pict>
        </mc:Fallback>
      </mc:AlternateConten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53DB1"/>
    <w:multiLevelType w:val="singleLevel"/>
    <w:tmpl w:val="17753DB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000000"/>
    <w:rsid w:val="0600615C"/>
    <w:rsid w:val="06BC71F5"/>
    <w:rsid w:val="07EC2EEF"/>
    <w:rsid w:val="08A54D99"/>
    <w:rsid w:val="0AC0469B"/>
    <w:rsid w:val="10352EA6"/>
    <w:rsid w:val="153C6A85"/>
    <w:rsid w:val="15567B46"/>
    <w:rsid w:val="1A3F504D"/>
    <w:rsid w:val="1D5C5F16"/>
    <w:rsid w:val="1D906B12"/>
    <w:rsid w:val="23AB72AF"/>
    <w:rsid w:val="24D82326"/>
    <w:rsid w:val="24FF3D57"/>
    <w:rsid w:val="2C9254B0"/>
    <w:rsid w:val="2F7D10ED"/>
    <w:rsid w:val="36FD5C1C"/>
    <w:rsid w:val="39475874"/>
    <w:rsid w:val="39D30DD0"/>
    <w:rsid w:val="3C0417FB"/>
    <w:rsid w:val="3C9C5ED7"/>
    <w:rsid w:val="3D4248C2"/>
    <w:rsid w:val="3DCF3A3F"/>
    <w:rsid w:val="3FC0027E"/>
    <w:rsid w:val="409E3FCC"/>
    <w:rsid w:val="40FB141E"/>
    <w:rsid w:val="448B2AB9"/>
    <w:rsid w:val="46C16C66"/>
    <w:rsid w:val="4A286FFC"/>
    <w:rsid w:val="4B9F509C"/>
    <w:rsid w:val="529E60AD"/>
    <w:rsid w:val="57E502DB"/>
    <w:rsid w:val="581D64C2"/>
    <w:rsid w:val="67283D40"/>
    <w:rsid w:val="6BD10E4A"/>
    <w:rsid w:val="7A777060"/>
    <w:rsid w:val="7DB859C6"/>
    <w:rsid w:val="7E01736D"/>
    <w:rsid w:val="7E8A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2022-08-28T08:11:00Z</dcterms:created>
  <dc:creator>惠翠</dc:creator>
  <cp:lastModifiedBy>惠翠</cp:lastModifiedBy>
  <dcterms:modified xsi:type="dcterms:W3CDTF">2023-08-26T03:25:50Z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0C80F71CA25D48EF925A42E237E150C9_13</vt:lpwstr>
  </property>
</Properties>
</file>