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ascii="黑体" w:hAnsi="黑体" w:eastAsia="黑体"/>
          <w:b/>
          <w:sz w:val="44"/>
          <w:szCs w:val="44"/>
        </w:rPr>
        <w:t>0</w:t>
      </w: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-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b/>
          <w:sz w:val="44"/>
          <w:szCs w:val="44"/>
        </w:rPr>
        <w:t>学年</w:t>
      </w:r>
      <w:r>
        <w:rPr>
          <w:rFonts w:ascii="黑体" w:hAnsi="黑体" w:eastAsia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/>
          <w:b/>
          <w:bCs/>
          <w:sz w:val="44"/>
          <w:szCs w:val="44"/>
        </w:rPr>
        <w:t>一</w:t>
      </w:r>
      <w:r>
        <w:rPr>
          <w:rFonts w:ascii="黑体" w:hAnsi="黑体" w:eastAsia="黑体"/>
          <w:b/>
          <w:bCs/>
          <w:sz w:val="44"/>
          <w:szCs w:val="44"/>
        </w:rPr>
        <w:t>学期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语文</w:t>
      </w:r>
      <w:r>
        <w:rPr>
          <w:rFonts w:hint="eastAsia" w:ascii="黑体" w:hAnsi="黑体" w:eastAsia="黑体"/>
          <w:b/>
          <w:bCs/>
          <w:sz w:val="44"/>
          <w:szCs w:val="44"/>
        </w:rPr>
        <w:t>教学</w:t>
      </w:r>
      <w:r>
        <w:rPr>
          <w:rFonts w:ascii="黑体" w:hAnsi="黑体" w:eastAsia="黑体"/>
          <w:b/>
          <w:bCs/>
          <w:sz w:val="44"/>
          <w:szCs w:val="44"/>
        </w:rPr>
        <w:t>计划</w:t>
      </w:r>
    </w:p>
    <w:p>
      <w:pPr>
        <w:ind w:right="640"/>
        <w:jc w:val="center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初一语文徐梦倩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1" w:firstLine="562" w:firstLineChars="200"/>
        <w:jc w:val="both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一、教材分析</w:t>
      </w:r>
    </w:p>
    <w:p>
      <w:pPr>
        <w:numPr>
          <w:numId w:val="0"/>
        </w:numPr>
        <w:ind w:leftChars="250"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本册教材共分为六个单元。 第一单元“四季如歌”。课文用优美的语言，描绘了多姿多彩的四季美景，有利于陶冶学生爱美的心灵，锻炼了学生发现美的眼力，培养学生亲近自然、热爱生活的情怀。 第二单元“呵护亲情”。亲情是人世间最普遍、最美好的情感之一。本单元的课文，从不同角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度抒写了亲人之间真挚动人的感情。阅读这些课文，可以加深我们对亲情的感受和理解，丰富自己的情感体验。第三单元“趣味童年”。从中我们可以了解不同时代少年儿童的学习状况和成长经历，感受到永恒的童真、童趣、友谊和爱。这一切都值得即将告别童年的同学们好好体会、领悟。本单元重点学习默读。不出声，不动唇，不指读，不回看，一气读完全文，以保证阅读感知的完整性和一定的阅读速度。还要学会在默读中把握基本内容，了解文章大意。标题、开头、结尾及文段中的关键语句，都是阅读时需要重点关注的。 第四单元“感悟人生”。课文从不同方面诠释了人生的意思义和价值，有对人物美好品行的礼赞，有对人生经验的总结和思考，还有关于修身养德的谆谆教诲。令我们感动的，是其中彰显的理想光辉和人格力量。本单元继续学习默读。在课本上勾画出关键语句，并在自己喜欢的或有疑惑的地方做标注。在整体把握文意的基础上，学会通过划分段落层次、抓关键语句等方法，理清作者思路。 第五单元“走进动物”。课文描绘了人与动物相处的种种情形，有的表达了对动物的欣赏、对其命运的关注，有的表现了人与动物的矛盾冲突。阅读这些文章，可以增进对人与大自然关系的理解，加强对人类自我的理解和反思，形成尊重动物、善待生命的意识。本单元继续学习默读。边读边思考，并学做摘录。还要在把握段落大意、理清思路的基础上，学会概括文章的中心思想。 第六单元“瑰丽想象”。课文有童话、诗歌、神话和寓言等。这些作品都富于想象力，引人遐思，能引导我们换一种眼光来看世界。本单元学习快速阅读，力争每分钟不少于400字。阅读时尽量扩大一次性进入视野的文字数量，寻找关键词语以带动整体阅读，提高阅读速度。还要调动自己的体验，发挥联想和想象，把握作者的思路，深入理解课文。</w:t>
      </w:r>
    </w:p>
    <w:p>
      <w:pPr>
        <w:numPr>
          <w:numId w:val="0"/>
        </w:numPr>
        <w:ind w:left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二、本班学生情况简要分析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今年我带的是初一（1）班和初一（4），一个少军班，一个信息班，1班整体学习理解能力比4班要强，阅读写作和书写能力同样也是，但4班较为活跃，课堂参与度较高，1班学生学习习惯较为严谨。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今年的新生良莠不齐，差异性较大，两级分化明显，我带的两个班都是男生较多，女生较少，年龄都相对小，好动，思维简单，有求知欲，但部分学生学习积极性不高，学习主动性不强。初一新生，在小学都是接受式学习，而初中则要求自主学习、合作学习、探究学习，学生很难一下子转变过来，所以按照本次从化区组织的新课标学习培训的要求，我们要着眼于全面培养学生的语文素养，正确把握语文教育的特点，积极倡导自主、合作、探究的方式，培养创新型的人才，抓好学生基础，吃透教材，跟着2023版新课标走。</w:t>
      </w:r>
    </w:p>
    <w:p>
      <w:pPr>
        <w:numPr>
          <w:ilvl w:val="0"/>
          <w:numId w:val="1"/>
        </w:numPr>
        <w:ind w:firstLine="703" w:firstLineChars="25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教学目标和任务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教学目标 </w:t>
      </w:r>
    </w:p>
    <w:p>
      <w:pPr>
        <w:numPr>
          <w:ilvl w:val="0"/>
          <w:numId w:val="0"/>
        </w:num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.知识能力目标:掌握七年级上册语文所要掌握的生字、新词；学习朗读方法，注意语气的停顿、转折，感情的转化，为培养学生语文的语感打下基础；阅读大量的课外读物，提高对文本理解的深度；了解写作的基本技巧，理解文本的思想内容和文章的思路，提高文字敏感度；培养良好的语文学习习惯。养成边读边圈点、敢于提问与答辩的习惯。 </w:t>
      </w:r>
    </w:p>
    <w:p>
      <w:pPr>
        <w:numPr>
          <w:ilvl w:val="0"/>
          <w:numId w:val="0"/>
        </w:numPr>
        <w:ind w:left="0" w:leftChars="0"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.人文素质目标：能注意对象和场合，学习文明得体地进行交流。能够较完整的讲述见闻，内容具体、语言生动。复述转述，完整准确、突出重点。把课本上学习到的东西，活用到生活当中，提高自身的文化品味。</w:t>
      </w:r>
    </w:p>
    <w:p>
      <w:pPr>
        <w:numPr>
          <w:ilvl w:val="0"/>
          <w:numId w:val="0"/>
        </w:numPr>
        <w:ind w:left="0" w:leftChars="0" w:firstLine="700" w:firstLineChars="25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德育目标：在语文的教学过程中，要进一步培养学生的爱国主义精神，激发学生对祖国语言的热爱，促进学生形成良好的人生观。 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本学期的语文教学，主要要从两个方面着手，一方面是培养学生的学习语文的兴趣，包括培养他们良好的学习习惯，比如在课堂上听讲要记笔记，要积极发言提问等等，另一方面，要教给学生学习方法，以“导学框架”为课堂训练模式，推动学生跳出“被学习”状态，全面提要学生的语文素养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教学任务主要有如下几点：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1.要求学生掌握七年级(上)阶段要求掌握的生字词的音义,并学会运用。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2.学习本册书上的课文,完成本学期的教学任务。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3.培养学生良好的语文学习习惯,掌握常用的学习方法。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4.培养学生良好的语文素养,语文学习中贯穿情感教育和道德教育。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5.本学期学生至少要完成《朝花夕拾》《西游记》两本名著的阅读任务。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6.提高两个班的书写能力，尤其是初一（3）班。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7.对于背诵任务和作业，要求学生按时按点完成，不得拖沓。</w:t>
      </w:r>
    </w:p>
    <w:p>
      <w:pPr>
        <w:ind w:firstLine="703" w:firstLineChars="25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四、教学重、难点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1.要求学生掌握七年级(上)阶段要求掌握的生字词的音义,并学会运用。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2.学习本册书上的课文,完成本学期的教学任务。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3.培养学生良好的语文学习习惯,掌握常用的学习方法。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4.培养学生语文朗读能力,使之能有感情的朗读课文,为培养学生语文语感打下基础。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5.大量阅读课程标准要求的课外读物,增加阅读量。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6.指导学生理解课文中的文章的主题含义和丰富的思想感情。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7.培养学生良好的语文素养，语文学习中贯穿情感教育和道德教育。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8.督促学生把字写工整，抓书写、抓背诵。</w:t>
      </w:r>
    </w:p>
    <w:p>
      <w:pPr>
        <w:ind w:firstLine="703" w:firstLineChars="25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五、新学期教学改革措施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1.重视学生的学习习惯的培养，促进学生良好学习习惯的养成。 　　2、营造轻松、活泼的自主学习氛围，让学生在学习中学知识，在生活中学道理，促进学生形成良好的人生观。 　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2.改进自己的教学方法，用新课程的理念指导教学，及时发现教学中的问题，并进行反思。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3.指导学生进行朗读训练，要求学生能普通话正确、流利、有感情的朗读。可以在课外组织朗读比赛或者是演讲比赛，促进学生之间的相互交流。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.建立合作小组，加强学生之间相互合作的能力。可以分成两种：一种是语文研究性小组，创建自主、合作、探究的学习模式；另一种是学习互助小组，学习成绩好的同学对落后同学的帮助。营造出整个班级的学习氛围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5.督促学生阅读大量的课外读物，写读书笔记，在课堂上与同学们分享自己的学习心得，进行交流。背诵名篇名句，并进行默写。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.课内阅读，研制“约课单”。根据约课单组织教学，并在以教材为载体教会中引导学生学会学生语文阅读的基本方法：读文章、评句段、谈词语、说例子。充分调动全体学生参与的积极性，逐一检查过关保证学习质量。</w:t>
      </w:r>
    </w:p>
    <w:p>
      <w:pPr>
        <w:ind w:firstLine="700" w:firstLineChars="25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课外阅读，建立“阅读卡”。通过“阅读卡”，对学生进行阅读</w:t>
      </w:r>
      <w:r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专题训练，各个突破，从而全面提高学生阅读作答的能力，并对起点水平较低学生进行专门的阅读辅导。开展班队读书活动，通过推荐佳作、摘抄佳作、写读书笔记等多种途径，培养阅读兴趣，提升阅读量。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写作训练，倡导“人格作文”。 总共安排8次“记事实”的集中训练，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让学生</w:t>
      </w:r>
      <w:r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懂得记叙要紧扣事件的发展，掌握几种常见的突出主题的写法；懂得修辞在文章中的作用，并能在写作实践中加以运用。将写作要求与诀窍穿插到这8次指导与训练中，这样可以使作文指导更具有操作性、实效性，让学生在每次的训练中强化认识，提高能力。</w:t>
      </w:r>
    </w:p>
    <w:p>
      <w:pPr>
        <w:pStyle w:val="4"/>
        <w:widowControl/>
        <w:shd w:val="clear" w:color="auto" w:fill="FFFFFF"/>
        <w:spacing w:after="75" w:line="368" w:lineRule="atLeast"/>
        <w:ind w:left="60" w:right="6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语文教学进度表和科组安排</w:t>
      </w:r>
    </w:p>
    <w:tbl>
      <w:tblPr>
        <w:tblStyle w:val="5"/>
        <w:tblW w:w="843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530"/>
        <w:gridCol w:w="4767"/>
        <w:gridCol w:w="15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outset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周次</w:t>
            </w:r>
          </w:p>
        </w:tc>
        <w:tc>
          <w:tcPr>
            <w:tcW w:w="1530" w:type="dxa"/>
            <w:tcBorders>
              <w:top w:val="outset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日期</w:t>
            </w:r>
          </w:p>
        </w:tc>
        <w:tc>
          <w:tcPr>
            <w:tcW w:w="4767" w:type="dxa"/>
            <w:tcBorders>
              <w:top w:val="outset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教学内容</w:t>
            </w:r>
          </w:p>
        </w:tc>
        <w:tc>
          <w:tcPr>
            <w:tcW w:w="1521" w:type="dxa"/>
            <w:tcBorders>
              <w:top w:val="outset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9.4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古代诗歌四首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名著《朝花夕拾》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15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春</w:t>
            </w:r>
            <w:r>
              <w:rPr>
                <w:rFonts w:ascii="黑体" w:hAnsi="黑体" w:eastAsia="黑体" w:cs="黑体"/>
                <w:szCs w:val="21"/>
              </w:rPr>
              <w:t>》、《</w:t>
            </w:r>
            <w:r>
              <w:rPr>
                <w:rFonts w:hint="eastAsia" w:ascii="黑体" w:hAnsi="黑体" w:eastAsia="黑体" w:cs="黑体"/>
                <w:szCs w:val="21"/>
              </w:rPr>
              <w:t>济南的冬天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商讨学期活动具体实施细则、完善作业布置形式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9.1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22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课外古诗</w:t>
            </w:r>
            <w:r>
              <w:rPr>
                <w:rFonts w:ascii="黑体" w:hAnsi="黑体" w:eastAsia="黑体" w:cs="黑体"/>
                <w:szCs w:val="21"/>
              </w:rPr>
              <w:t>》、《</w:t>
            </w:r>
            <w:r>
              <w:rPr>
                <w:rFonts w:hint="eastAsia" w:ascii="黑体" w:hAnsi="黑体" w:eastAsia="黑体" w:cs="黑体"/>
                <w:szCs w:val="21"/>
              </w:rPr>
              <w:t>雨的四季</w:t>
            </w:r>
            <w:r>
              <w:rPr>
                <w:rFonts w:ascii="黑体" w:hAnsi="黑体" w:eastAsia="黑体" w:cs="黑体"/>
                <w:szCs w:val="21"/>
              </w:rPr>
              <w:t>》、</w:t>
            </w:r>
            <w:r>
              <w:rPr>
                <w:rFonts w:hint="eastAsia" w:ascii="黑体" w:hAnsi="黑体" w:eastAsia="黑体" w:cs="黑体"/>
                <w:szCs w:val="21"/>
              </w:rPr>
              <w:t>第一单元</w:t>
            </w:r>
            <w:r>
              <w:rPr>
                <w:rFonts w:ascii="黑体" w:hAnsi="黑体" w:eastAsia="黑体" w:cs="黑体"/>
                <w:szCs w:val="21"/>
              </w:rPr>
              <w:t>口语交际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集体研讨亮相课、示范课、公开课的内容及课堂形式如何高效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4 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25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28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第一单元写作《热爱生活、热爱写作》</w:t>
            </w: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世说新语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二则、常规教学检查、查缺补漏，规范格式明确要求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5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29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国庆节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10.7—10.13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散文诗</w:t>
            </w:r>
            <w:r>
              <w:rPr>
                <w:rFonts w:ascii="黑体" w:hAnsi="黑体" w:eastAsia="黑体" w:cs="黑体"/>
                <w:szCs w:val="21"/>
              </w:rPr>
              <w:t>二篇》</w:t>
            </w:r>
            <w:r>
              <w:rPr>
                <w:rFonts w:hint="eastAsia" w:ascii="黑体" w:hAnsi="黑体" w:eastAsia="黑体" w:cs="黑体"/>
                <w:szCs w:val="21"/>
              </w:rPr>
              <w:t>、第二单元写作《学会记事》、第二单元口语交际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小主题探讨;如何有效提高学生阅读量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7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16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20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论语十二章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《从百草园到三味书屋》明确教学进度、继续开展听评课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23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27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《再塑生命的人》、第三单元写作、第三单元口语交际、常规教学检查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30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制定期中复习策略、明确期中成绩目标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期中测试、根据成绩认真完成质量分析，及时调整教学策略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11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13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17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开展学科系列活动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12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20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24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诫子书</w:t>
            </w:r>
            <w:r>
              <w:rPr>
                <w:rFonts w:ascii="黑体" w:hAnsi="黑体" w:eastAsia="黑体" w:cs="黑体"/>
                <w:szCs w:val="21"/>
              </w:rPr>
              <w:t>》《</w:t>
            </w:r>
            <w:r>
              <w:rPr>
                <w:rFonts w:hint="eastAsia" w:ascii="黑体" w:hAnsi="黑体" w:eastAsia="黑体" w:cs="黑体"/>
                <w:szCs w:val="21"/>
              </w:rPr>
              <w:t>纪念白求恩</w:t>
            </w:r>
            <w:r>
              <w:rPr>
                <w:rFonts w:ascii="黑体" w:hAnsi="黑体" w:eastAsia="黑体" w:cs="黑体"/>
                <w:szCs w:val="21"/>
              </w:rPr>
              <w:t>》课外古诗词默写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13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27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植树的牧羊人</w:t>
            </w:r>
            <w:r>
              <w:rPr>
                <w:rFonts w:ascii="黑体" w:hAnsi="黑体" w:eastAsia="黑体" w:cs="黑体"/>
                <w:szCs w:val="21"/>
              </w:rPr>
              <w:t>》《</w:t>
            </w:r>
            <w:r>
              <w:rPr>
                <w:rFonts w:hint="eastAsia" w:ascii="黑体" w:hAnsi="黑体" w:eastAsia="黑体" w:cs="黑体"/>
                <w:szCs w:val="21"/>
              </w:rPr>
              <w:t>走一步，再走一步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常规教学检查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14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4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第四单元写作《思路要清晰》</w:t>
            </w:r>
            <w:r>
              <w:rPr>
                <w:rFonts w:ascii="黑体" w:hAnsi="黑体" w:eastAsia="黑体" w:cs="黑体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</w:rPr>
              <w:t>口语交际 、</w:t>
            </w: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西游记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常规备课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15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15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狼</w:t>
            </w:r>
            <w:r>
              <w:rPr>
                <w:rFonts w:ascii="黑体" w:hAnsi="黑体" w:eastAsia="黑体" w:cs="黑体"/>
                <w:szCs w:val="21"/>
              </w:rPr>
              <w:t>》《</w:t>
            </w:r>
            <w:r>
              <w:rPr>
                <w:rFonts w:hint="eastAsia" w:ascii="黑体" w:hAnsi="黑体" w:eastAsia="黑体" w:cs="黑体"/>
                <w:szCs w:val="21"/>
              </w:rPr>
              <w:t>动物笑谈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、第五单元写作《如何突出中心》、第五单元口语交际、常规备课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16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18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22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寓言四则</w:t>
            </w:r>
            <w:r>
              <w:rPr>
                <w:rFonts w:ascii="黑体" w:hAnsi="黑体" w:eastAsia="黑体" w:cs="黑体"/>
                <w:szCs w:val="21"/>
              </w:rPr>
              <w:t>》《</w:t>
            </w:r>
            <w:r>
              <w:rPr>
                <w:rFonts w:hint="eastAsia" w:ascii="黑体" w:hAnsi="黑体" w:eastAsia="黑体" w:cs="黑体"/>
                <w:szCs w:val="21"/>
              </w:rPr>
              <w:t>皇帝的新装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17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25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29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天上的街市</w:t>
            </w:r>
            <w:r>
              <w:rPr>
                <w:rFonts w:ascii="黑体" w:hAnsi="黑体" w:eastAsia="黑体" w:cs="黑体"/>
                <w:szCs w:val="21"/>
              </w:rPr>
              <w:t>》、《</w:t>
            </w:r>
            <w:r>
              <w:rPr>
                <w:rFonts w:hint="eastAsia" w:ascii="黑体" w:hAnsi="黑体" w:eastAsia="黑体" w:cs="黑体"/>
                <w:szCs w:val="21"/>
              </w:rPr>
              <w:t>女娲造人</w:t>
            </w:r>
            <w:r>
              <w:rPr>
                <w:rFonts w:ascii="黑体" w:hAnsi="黑体" w:eastAsia="黑体" w:cs="黑体"/>
                <w:szCs w:val="21"/>
              </w:rPr>
              <w:t>》、</w:t>
            </w:r>
            <w:r>
              <w:rPr>
                <w:rFonts w:hint="eastAsia" w:ascii="黑体" w:hAnsi="黑体" w:eastAsia="黑体" w:cs="黑体"/>
                <w:szCs w:val="21"/>
              </w:rPr>
              <w:t>第六单元写作《发挥联想何想象》综合性学习</w:t>
            </w:r>
            <w:r>
              <w:rPr>
                <w:rFonts w:ascii="黑体" w:hAnsi="黑体" w:eastAsia="黑体" w:cs="黑体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常规教学检查 准备期末专项题库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18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1.1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1.5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准备期末专项题库  </w:t>
            </w:r>
            <w:r>
              <w:rPr>
                <w:rFonts w:ascii="黑体" w:hAnsi="黑体" w:eastAsia="黑体" w:cs="黑体"/>
                <w:szCs w:val="21"/>
              </w:rPr>
              <w:t>期末复习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19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.8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12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专项系统复习、整合复习资料  </w:t>
            </w:r>
            <w:r>
              <w:rPr>
                <w:rFonts w:ascii="黑体" w:hAnsi="黑体" w:eastAsia="黑体" w:cs="黑体"/>
                <w:szCs w:val="21"/>
              </w:rPr>
              <w:t>期末复习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20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15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-1.1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期末区统考、分析成绩、完成质量分析，教学工作总结、提前做好下阶段计划、备组团建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>
      <w:pPr>
        <w:ind w:firstLine="700" w:firstLineChars="25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</w:t>
      </w:r>
    </w:p>
    <w:p>
      <w:pPr>
        <w:ind w:firstLine="700" w:firstLineChars="25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B8977C-8FDC-4E0E-A3F3-1926AD1EFB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8A98790-D2AD-448D-BCBB-90725ED837D2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A724B674-AE83-47E8-900F-865106DB82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3BDB23-E9D8-4975-B0BF-9E721C59EB7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/GInHTAAAACQEAAA8AAAAAAAAAAQAgAAAAIgAAAGRycy9kb3ducmV2&#10;LnhtbFBLAQIUABQAAAAIAIdO4kA0kvpJ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7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40" w:firstLineChars="400"/>
    </w:pPr>
    <w:r>
      <w:rPr>
        <w:rFonts w:hint="eastAsia" w:ascii="华文行楷" w:hAnsi="Times New Roman" w:eastAsia="华文行楷" w:cs="Times New Roman"/>
        <w:sz w:val="21"/>
        <w:szCs w:val="21"/>
        <w:lang w:eastAsia="zh-CN"/>
      </w:rPr>
      <w:t>花广金狮学校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3935730</wp:posOffset>
          </wp:positionH>
          <wp:positionV relativeFrom="paragraph">
            <wp:posOffset>48260</wp:posOffset>
          </wp:positionV>
          <wp:extent cx="1333500" cy="281305"/>
          <wp:effectExtent l="0" t="0" r="0" b="1079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294005</wp:posOffset>
              </wp:positionH>
              <wp:positionV relativeFrom="paragraph">
                <wp:posOffset>300990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3.15pt;margin-top:23.7pt;height:1.4pt;width:396pt;z-index:251660288;mso-width-relative:page;mso-height-relative:page;" filled="f" stroked="t" coordsize="21600,21600" o:gfxdata="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/UQ5TZAAAACAEAAA8AAAAAAAAAAQAgAAAA&#10;IgAAAGRycy9kb3ducmV2LnhtbFBLAQIUABQAAAAIAIdO4kAKjkP4CgIAAAEEAAAOAAAAAAAAAAEA&#10;IAAAACgBAABkcnMvZTJvRG9jLnhtbFBLBQYAAAAABgAGAFkBAACkBQAAAAA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-38100</wp:posOffset>
          </wp:positionV>
          <wp:extent cx="312420" cy="298450"/>
          <wp:effectExtent l="0" t="0" r="5080" b="6350"/>
          <wp:wrapSquare wrapText="bothSides"/>
          <wp:docPr id="3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新徽章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826F1"/>
    <w:multiLevelType w:val="singleLevel"/>
    <w:tmpl w:val="4A1826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2E2NjQ2MTRjM2M5MTEzYjEzNjAzOTcxZGYwYzgifQ=="/>
  </w:docVars>
  <w:rsids>
    <w:rsidRoot w:val="1DBE6B59"/>
    <w:rsid w:val="1DBE6B59"/>
    <w:rsid w:val="1F6D3C5F"/>
    <w:rsid w:val="1FDD68E2"/>
    <w:rsid w:val="FDCD6E27"/>
    <w:rsid w:val="FE9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rFonts w:ascii="Times New Roman" w:hAnsi="Times New Roman"/>
      <w:sz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1303</Characters>
  <Lines>0</Lines>
  <Paragraphs>0</Paragraphs>
  <TotalTime>16</TotalTime>
  <ScaleCrop>false</ScaleCrop>
  <LinksUpToDate>false</LinksUpToDate>
  <CharactersWithSpaces>1423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2022-08-30T21:49:00Z</dcterms:created>
  <dc:creator>宋宋</dc:creator>
  <cp:lastModifiedBy>lhh</cp:lastModifiedBy>
  <dcterms:modified xsi:type="dcterms:W3CDTF">2023-12-08T02:07:17Z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1BBB2A0FB9054BBEBDA310E4E076CFB3_13</vt:lpwstr>
  </property>
</Properties>
</file>